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none" w:color="FFFFFF" w:sz="0"/>
              <w:bottom w:val="none" w:color="FFFFFF" w:sz="0"/>
              <w:right w:val="none" w:color="FFFFFF" w:sz="0"/>
            </w:tcBorders>
            <w:shd w:fill="235180" w:color="auto" w:val="clear"/>
            <w:tcMar>
              <w:top w:type="dxa" w:w="60"/>
              <w:left w:type="dxa" w:w="90"/>
              <w:bottom w:type="dxa" w:w="60"/>
              <w:right w:type="dxa" w:w="90"/>
            </w:tcMar>
            <w:vAlign w:val="top"/>
          </w:tcPr>
          <w:p>
            <w:pPr>
              <w:spacing w:after="40" w:before="0" w:line="260"/>
            </w:pPr>
            <w:r>
              <w:rPr>
                <w:rFonts w:ascii="Calibri" w:cs="Calibri" w:eastAsia="Calibri" w:hAnsi="Calibri"/>
                <w:b/>
                <w:bCs/>
                <w:i w:val="false"/>
                <w:iCs w:val="false"/>
                <w:color w:val="FFFFFF"/>
                <w:sz w:val="30"/>
                <w:szCs w:val="30"/>
              </w:rPr>
              <w:t xml:space="preserve">Policy and Procedure Template</w:t>
            </w:r>
          </w:p>
          <w:p>
            <w:pPr>
              <w:spacing w:after="0" w:before="0" w:line="260"/>
            </w:pPr>
            <w:r>
              <w:rPr>
                <w:rFonts w:ascii="Calibri" w:cs="Calibri" w:eastAsia="Calibri" w:hAnsi="Calibri"/>
                <w:b w:val="false"/>
                <w:bCs w:val="false"/>
                <w:i w:val="false"/>
                <w:iCs w:val="false"/>
                <w:color w:val="D6E6EC"/>
                <w:sz w:val="19"/>
                <w:szCs w:val="19"/>
              </w:rPr>
              <w:t xml:space="preserve">Duplicate this file, then overwrite every "Write here" box with your own wording. Keep the section order: it is the order a surveyor reads.</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8"/>
              <w:bottom w:val="none" w:color="FFFFFF" w:sz="0"/>
              <w:right w:val="none" w:color="FFFFFF" w:sz="0"/>
            </w:tcBorders>
            <w:shd w:fill="EAF3F3" w:color="auto" w:val="clear"/>
            <w:tcMar>
              <w:top w:type="dxa" w:w="60"/>
              <w:left w:type="dxa" w:w="90"/>
              <w:bottom w:type="dxa" w:w="60"/>
              <w:right w:type="dxa" w:w="90"/>
            </w:tcMar>
            <w:vAlign w:val="top"/>
          </w:tcPr>
          <w:p>
            <w:pPr>
              <w:spacing w:after="60" w:before="0" w:line="260"/>
            </w:pPr>
            <w:r>
              <w:rPr>
                <w:rFonts w:ascii="Calibri" w:cs="Calibri" w:eastAsia="Calibri" w:hAnsi="Calibri"/>
                <w:b/>
                <w:bCs/>
                <w:i w:val="false"/>
                <w:iCs w:val="false"/>
                <w:color w:val="235180"/>
                <w:sz w:val="20"/>
                <w:szCs w:val="20"/>
              </w:rPr>
              <w:t xml:space="preserve">How to use this template</w:t>
            </w:r>
          </w:p>
          <w:p>
            <w:pPr>
              <w:spacing w:after="40" w:before="0" w:line="260"/>
            </w:pPr>
            <w:r>
              <w:rPr>
                <w:rFonts w:ascii="Calibri" w:cs="Calibri" w:eastAsia="Calibri" w:hAnsi="Calibri"/>
                <w:b w:val="false"/>
                <w:bCs w:val="false"/>
                <w:i w:val="false"/>
                <w:iCs w:val="false"/>
                <w:color w:val="141C26"/>
                <w:sz w:val="19"/>
                <w:szCs w:val="19"/>
              </w:rPr>
              <w:t xml:space="preserve">Duplicate the file for each policy. Give the copy the same name as the policy number so the controlled copy and the register row always match.</w:t>
            </w:r>
          </w:p>
          <w:p>
            <w:pPr>
              <w:spacing w:after="40" w:before="0" w:line="260"/>
            </w:pPr>
            <w:r>
              <w:rPr>
                <w:rFonts w:ascii="Calibri" w:cs="Calibri" w:eastAsia="Calibri" w:hAnsi="Calibri"/>
                <w:b w:val="false"/>
                <w:bCs w:val="false"/>
                <w:i w:val="false"/>
                <w:iCs w:val="false"/>
                <w:color w:val="141C26"/>
                <w:sz w:val="19"/>
                <w:szCs w:val="19"/>
              </w:rPr>
              <w:t xml:space="preserve">Delete nothing. If a section does not apply to your policy, write "Not applicable" and say why: a section that is missing looks like a policy that was not written.</w:t>
            </w:r>
          </w:p>
          <w:p>
            <w:pPr>
              <w:spacing w:after="40" w:before="0" w:line="260"/>
            </w:pPr>
            <w:r>
              <w:rPr>
                <w:rFonts w:ascii="Calibri" w:cs="Calibri" w:eastAsia="Calibri" w:hAnsi="Calibri"/>
                <w:b w:val="false"/>
                <w:bCs w:val="false"/>
                <w:i w:val="false"/>
                <w:iCs w:val="false"/>
                <w:color w:val="141C26"/>
                <w:sz w:val="19"/>
                <w:szCs w:val="19"/>
              </w:rPr>
              <w:t xml:space="preserve">Write one policy per file. A document that covers three processes is three policies, and nobody can be shown the one that applies.</w:t>
            </w:r>
          </w:p>
          <w:p>
            <w:pPr>
              <w:spacing w:after="40" w:before="0" w:line="260"/>
            </w:pPr>
            <w:r>
              <w:rPr>
                <w:rFonts w:ascii="Calibri" w:cs="Calibri" w:eastAsia="Calibri" w:hAnsi="Calibri"/>
                <w:b w:val="false"/>
                <w:bCs w:val="false"/>
                <w:i w:val="false"/>
                <w:iCs w:val="false"/>
                <w:color w:val="141C26"/>
                <w:sz w:val="19"/>
                <w:szCs w:val="19"/>
              </w:rPr>
              <w:t xml:space="preserve">Put the related standard IDs in the Related standard IDs section only, from your own licensed copy of the standards. Never paste standard text into a policy.</w:t>
            </w:r>
          </w:p>
          <w:p>
            <w:pPr>
              <w:spacing w:after="40" w:before="0" w:line="260"/>
            </w:pPr>
            <w:r>
              <w:rPr>
                <w:rFonts w:ascii="Calibri" w:cs="Calibri" w:eastAsia="Calibri" w:hAnsi="Calibri"/>
                <w:b w:val="false"/>
                <w:bCs w:val="false"/>
                <w:i w:val="false"/>
                <w:iCs w:val="false"/>
                <w:color w:val="141C26"/>
                <w:sz w:val="19"/>
                <w:szCs w:val="19"/>
              </w:rPr>
              <w:t xml:space="preserve">Every time you change a policy, add a revision history row and change the version. An approved document without a version cannot be traced.</w:t>
            </w:r>
          </w:p>
          <w:p>
            <w:pPr>
              <w:spacing w:after="0" w:before="0" w:line="260"/>
            </w:pPr>
            <w:r>
              <w:rPr>
                <w:rFonts w:ascii="Calibri" w:cs="Calibri" w:eastAsia="Calibri" w:hAnsi="Calibri"/>
                <w:b w:val="false"/>
                <w:bCs w:val="false"/>
                <w:i/>
                <w:iCs/>
                <w:color w:val="5B6B7B"/>
                <w:sz w:val="16"/>
                <w:szCs w:val="16"/>
              </w:rPr>
              <w:t xml:space="preserve">Prepared by Meridex · horof.space — Independent tool, not issued or endorsed by CBAHI. Fill standard IDs from your facility’s licensed copy of the CBAHI standards.</w:t>
            </w:r>
          </w:p>
        </w:tc>
      </w:tr>
    </w:tbl>
    <w:p>
      <w:pPr>
        <w:spacing w:after="120"/>
      </w:pPr>
    </w:p>
    <w:p>
      <w:pPr>
        <w:keepNext/>
        <w:pBdr>
          <w:bottom w:val="single" w:color="127572" w:sz="8" w:space="4"/>
        </w:pBdr>
        <w:spacing w:after="100" w:before="260"/>
      </w:pPr>
      <w:r>
        <w:rPr>
          <w:rFonts w:ascii="Calibri" w:cs="Calibri" w:eastAsia="Calibri" w:hAnsi="Calibri"/>
          <w:b/>
          <w:bCs/>
          <w:i w:val="false"/>
          <w:iCs w:val="false"/>
          <w:color w:val="235180"/>
          <w:sz w:val="26"/>
          <w:szCs w:val="26"/>
        </w:rPr>
        <w:t xml:space="preserve">Header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721"/>
        <w:gridCol w:w="6349"/>
      </w:tblGrid>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Title</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Policy number</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Department</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Applies to</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Version</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Effective date</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Next review date</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Prepared by</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Reviewed by</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r>
        <w:tc>
          <w:tcPr>
            <w:tcBorders>
              <w:top w:val="single" w:color="BFCAD4" w:sz="4"/>
              <w:left w:val="single" w:color="BFCAD4" w:sz="4"/>
              <w:bottom w:val="single" w:color="BFCAD4" w:sz="4"/>
              <w:right w:val="single" w:color="BFCAD4" w:sz="4"/>
            </w:tcBorders>
            <w:shd w:fill="EAF3F3"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41C26"/>
                <w:sz w:val="20"/>
                <w:szCs w:val="20"/>
              </w:rPr>
              <w:t xml:space="preserve">Approved by</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120" w:before="0" w:line="260"/>
            </w:pPr>
            <w:r>
              <w:rPr>
                <w:rFonts w:ascii="Calibri" w:cs="Calibri" w:eastAsia="Calibri" w:hAnsi="Calibri"/>
                <w:b w:val="false"/>
                <w:bCs w:val="false"/>
                <w:i w:val="false"/>
                <w:iCs w:val="false"/>
                <w:color w:val="141C26"/>
                <w:sz w:val="20"/>
                <w:szCs w:val="20"/>
              </w:rPr>
              <w:t xml:space="preserve"/>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5"/>
        <w:gridCol w:w="2993"/>
        <w:gridCol w:w="2721"/>
        <w:gridCol w:w="1361"/>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Role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Name and job title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Signature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Date</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Prepared by</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Reviewed by</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Approved by</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bl>
    <w:p>
      <w:pPr>
        <w:keepNext/>
        <w:pBdr>
          <w:bottom w:val="single" w:color="127572" w:sz="8" w:space="4"/>
        </w:pBdr>
        <w:spacing w:after="100" w:before="260"/>
      </w:pPr>
      <w:r>
        <w:rPr>
          <w:rFonts w:ascii="Calibri" w:cs="Calibri" w:eastAsia="Calibri" w:hAnsi="Calibri"/>
          <w:b/>
          <w:bCs/>
          <w:i w:val="false"/>
          <w:iCs w:val="false"/>
          <w:color w:val="235180"/>
          <w:sz w:val="26"/>
          <w:szCs w:val="26"/>
        </w:rPr>
        <w:t xml:space="preserve">Purpose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Say in two or three sentences why this policy exists: what it protects, who it protects, and what happens if it is not followed. A purpose that restates the title tells the reader nothing.</w:t>
            </w:r>
          </w:p>
        </w:tc>
      </w:tr>
    </w:tbl>
    <w:p>
      <w:pPr>
        <w:spacing w:after="80"/>
      </w:pPr>
    </w:p>
    <w:p>
      <w:pPr>
        <w:keepNext/>
        <w:pBdr>
          <w:bottom w:val="single" w:color="127572" w:sz="8" w:space="4"/>
        </w:pBdr>
        <w:spacing w:after="100" w:before="260"/>
      </w:pPr>
      <w:r>
        <w:rPr>
          <w:rFonts w:ascii="Calibri" w:cs="Calibri" w:eastAsia="Calibri" w:hAnsi="Calibri"/>
          <w:b/>
          <w:bCs/>
          <w:i w:val="false"/>
          <w:iCs w:val="false"/>
          <w:color w:val="235180"/>
          <w:sz w:val="26"/>
          <w:szCs w:val="26"/>
        </w:rPr>
        <w:t xml:space="preserve">Scope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Say exactly where this applies: which units, which staff, which patients or services, and any setting it does not cover. "All staff" is not a scope; it hides the departments that were not asked.</w:t>
            </w:r>
          </w:p>
        </w:tc>
      </w:tr>
    </w:tbl>
    <w:p>
      <w:pPr>
        <w:keepNext/>
        <w:pBdr>
          <w:bottom w:val="single" w:color="127572" w:sz="8" w:space="4"/>
        </w:pBdr>
        <w:spacing w:after="100" w:before="260"/>
      </w:pPr>
      <w:r>
        <w:rPr>
          <w:rFonts w:ascii="Calibri" w:cs="Calibri" w:eastAsia="Calibri" w:hAnsi="Calibri"/>
          <w:b/>
          <w:bCs/>
          <w:i w:val="false"/>
          <w:iCs w:val="false"/>
          <w:color w:val="235180"/>
          <w:sz w:val="26"/>
          <w:szCs w:val="26"/>
        </w:rPr>
        <w:t xml:space="preserve">Definitions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Define every word that a surveyor could reasonably read two ways, including the terms this policy uses that your staff do not use in the same way. Leave the table below in place and add rows.</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40"/>
        <w:gridCol w:w="6530"/>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Term</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Definition as this policy uses it</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bl>
    <w:p>
      <w:pPr>
        <w:keepNext/>
        <w:pBdr>
          <w:bottom w:val="single" w:color="127572" w:sz="8" w:space="4"/>
        </w:pBdr>
        <w:spacing w:after="100" w:before="260"/>
      </w:pPr>
      <w:r>
        <w:rPr>
          <w:rFonts w:ascii="Calibri" w:cs="Calibri" w:eastAsia="Calibri" w:hAnsi="Calibri"/>
          <w:b/>
          <w:bCs/>
          <w:i w:val="false"/>
          <w:iCs w:val="false"/>
          <w:color w:val="235180"/>
          <w:sz w:val="26"/>
          <w:szCs w:val="26"/>
        </w:rPr>
        <w:t xml:space="preserve">Policy statement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State the rule itself in plain words, as a commitment: who must do what, always. This is the sentence people are asked to repeat in an interview, so it has to survive being said out loud.</w:t>
            </w:r>
          </w:p>
        </w:tc>
      </w:tr>
    </w:tbl>
    <w:p>
      <w:pPr>
        <w:keepNext/>
        <w:pBdr>
          <w:bottom w:val="single" w:color="127572" w:sz="8" w:space="4"/>
        </w:pBdr>
        <w:spacing w:after="100" w:before="260"/>
      </w:pPr>
      <w:r>
        <w:rPr>
          <w:rFonts w:ascii="Calibri" w:cs="Calibri" w:eastAsia="Calibri" w:hAnsi="Calibri"/>
          <w:b/>
          <w:bCs/>
          <w:i w:val="false"/>
          <w:iCs w:val="false"/>
          <w:color w:val="235180"/>
          <w:sz w:val="26"/>
          <w:szCs w:val="26"/>
        </w:rPr>
        <w:t xml:space="preserve">Procedure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Number the steps in the order they happen, one action per step, starting with a verb. Numbered steps can be observed and audited; a paragraph cannot. Keep writing space: add a row for each step.</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44"/>
        <w:gridCol w:w="3991"/>
        <w:gridCol w:w="1451"/>
        <w:gridCol w:w="1633"/>
        <w:gridCol w:w="1451"/>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Step (one action per step)</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Who</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When or how often</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Record produced</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1</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2</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3</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4</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5</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6</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bl>
    <w:p>
      <w:pPr>
        <w:keepNext/>
        <w:pBdr>
          <w:bottom w:val="single" w:color="127572" w:sz="8" w:space="4"/>
        </w:pBdr>
        <w:spacing w:after="100" w:before="260"/>
      </w:pPr>
      <w:r>
        <w:rPr>
          <w:rFonts w:ascii="Calibri" w:cs="Calibri" w:eastAsia="Calibri" w:hAnsi="Calibri"/>
          <w:b/>
          <w:bCs/>
          <w:i w:val="false"/>
          <w:iCs w:val="false"/>
          <w:color w:val="235180"/>
          <w:sz w:val="26"/>
          <w:szCs w:val="26"/>
        </w:rPr>
        <w:t xml:space="preserve">Responsibilities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Name the role, not the person, and say what the role must do. If the answer is "everyone", the responsibility has not been assigned yet.</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58"/>
        <w:gridCol w:w="3991"/>
        <w:gridCol w:w="2721"/>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Role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What this role must do</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How you will know it was done</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bl>
    <w:p>
      <w:pPr>
        <w:keepNext/>
        <w:pBdr>
          <w:bottom w:val="single" w:color="127572" w:sz="8" w:space="4"/>
        </w:pBdr>
        <w:spacing w:after="100" w:before="260"/>
      </w:pPr>
      <w:r>
        <w:rPr>
          <w:rFonts w:ascii="Calibri" w:cs="Calibri" w:eastAsia="Calibri" w:hAnsi="Calibri"/>
          <w:b/>
          <w:bCs/>
          <w:i w:val="false"/>
          <w:iCs w:val="false"/>
          <w:color w:val="235180"/>
          <w:sz w:val="26"/>
          <w:szCs w:val="26"/>
        </w:rPr>
        <w:t xml:space="preserve">Related standard IDs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List the IDs from your own licensed copy of the CBAHI standards that this policy supports. IDs only: no standard text, no chapter names, no counts. If you are not sure which ID applies, leave it blank and check your copy rather than guessing.</w:t>
            </w:r>
          </w:p>
        </w:tc>
      </w:tr>
    </w:tbl>
    <w:p>
      <w:pPr>
        <w:keepNext/>
        <w:pBdr>
          <w:bottom w:val="single" w:color="127572" w:sz="8" w:space="4"/>
        </w:pBdr>
        <w:spacing w:after="100" w:before="260"/>
      </w:pPr>
      <w:r>
        <w:rPr>
          <w:rFonts w:ascii="Calibri" w:cs="Calibri" w:eastAsia="Calibri" w:hAnsi="Calibri"/>
          <w:b/>
          <w:bCs/>
          <w:i w:val="false"/>
          <w:iCs w:val="false"/>
          <w:color w:val="235180"/>
          <w:sz w:val="26"/>
          <w:szCs w:val="26"/>
        </w:rPr>
        <w:t xml:space="preserve">References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List every document this policy relies on, with its number and version, including other policies, guidelines, forms and systems. A policy that depends on a form nobody can find is not usable.</w:t>
            </w:r>
          </w:p>
        </w:tc>
      </w:tr>
    </w:tbl>
    <w:p>
      <w:pPr>
        <w:keepNext/>
        <w:pBdr>
          <w:bottom w:val="single" w:color="127572" w:sz="8" w:space="4"/>
        </w:pBdr>
        <w:spacing w:after="100" w:before="260"/>
      </w:pPr>
      <w:r>
        <w:rPr>
          <w:rFonts w:ascii="Calibri" w:cs="Calibri" w:eastAsia="Calibri" w:hAnsi="Calibri"/>
          <w:b/>
          <w:bCs/>
          <w:i w:val="false"/>
          <w:iCs w:val="false"/>
          <w:color w:val="235180"/>
          <w:sz w:val="26"/>
          <w:szCs w:val="26"/>
        </w:rPr>
        <w:t xml:space="preserve">Attachments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List the forms, checklists and flowcharts that go with this policy, with their numbers and versions. Write "None" if there are none, so the section is answered rather than empty.</w:t>
            </w:r>
          </w:p>
        </w:tc>
      </w:tr>
    </w:tbl>
    <w:p>
      <w:pPr>
        <w:pageBreakBefore/>
      </w:pPr>
    </w:p>
    <w:p>
      <w:pPr>
        <w:keepNext/>
        <w:pBdr>
          <w:bottom w:val="single" w:color="127572" w:sz="8" w:space="4"/>
        </w:pBdr>
        <w:spacing w:after="100" w:before="260"/>
      </w:pPr>
      <w:r>
        <w:rPr>
          <w:rFonts w:ascii="Calibri" w:cs="Calibri" w:eastAsia="Calibri" w:hAnsi="Calibri"/>
          <w:b/>
          <w:bCs/>
          <w:i w:val="false"/>
          <w:iCs w:val="false"/>
          <w:color w:val="235180"/>
          <w:sz w:val="26"/>
          <w:szCs w:val="26"/>
        </w:rPr>
        <w:t xml:space="preserve">Revision history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Borders>
              <w:top w:val="none" w:color="FFFFFF" w:sz="0"/>
              <w:left w:val="single" w:color="127572" w:sz="12"/>
              <w:bottom w:val="none" w:color="FFFFFF" w:sz="0"/>
              <w:right w:val="none" w:color="FFFFFF" w:sz="0"/>
            </w:tcBorders>
            <w:shd w:fill="F2F4F6" w:color="auto" w:val="clear"/>
            <w:tcMar>
              <w:top w:type="dxa" w:w="60"/>
              <w:left w:type="dxa" w:w="90"/>
              <w:bottom w:type="dxa" w:w="60"/>
              <w:right w:type="dxa" w:w="90"/>
            </w:tcMar>
            <w:vAlign w:val="top"/>
          </w:tcPr>
          <w:p>
            <w:pPr>
              <w:spacing w:after="120" w:before="0" w:line="260"/>
            </w:pPr>
            <w:r>
              <w:rPr>
                <w:rFonts w:ascii="Calibri" w:cs="Calibri" w:eastAsia="Calibri" w:hAnsi="Calibri"/>
                <w:b/>
                <w:bCs/>
                <w:i w:val="false"/>
                <w:iCs w:val="false"/>
                <w:color w:val="127572"/>
                <w:sz w:val="19"/>
                <w:szCs w:val="19"/>
              </w:rPr>
              <w:t xml:space="preserve">Write here:  </w:t>
            </w:r>
            <w:r>
              <w:rPr>
                <w:rFonts w:ascii="Calibri" w:cs="Calibri" w:eastAsia="Calibri" w:hAnsi="Calibri"/>
                <w:b w:val="false"/>
                <w:bCs w:val="false"/>
                <w:i/>
                <w:iCs/>
                <w:color w:val="5B6B7B"/>
                <w:sz w:val="19"/>
                <w:szCs w:val="19"/>
              </w:rPr>
              <w:t xml:space="preserve">One row per version, including the first one. Never overwrite an old row: a superseded version that is missing is a document control finding.</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88"/>
        <w:gridCol w:w="1451"/>
        <w:gridCol w:w="4716"/>
        <w:gridCol w:w="1814"/>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Version</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Date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What changed</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Approved by</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1.0</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First issue.</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
            </w:r>
          </w:p>
        </w:tc>
      </w:tr>
    </w:tbl>
    <w:p>
      <w:pPr>
        <w:keepNext/>
        <w:pBdr>
          <w:bottom w:val="single" w:color="127572" w:sz="8" w:space="4"/>
        </w:pBdr>
        <w:spacing w:after="100" w:before="260"/>
      </w:pPr>
      <w:r>
        <w:rPr>
          <w:rFonts w:ascii="Calibri" w:cs="Calibri" w:eastAsia="Calibri" w:hAnsi="Calibri"/>
          <w:b/>
          <w:bCs/>
          <w:i w:val="false"/>
          <w:iCs w:val="false"/>
          <w:color w:val="235180"/>
          <w:sz w:val="26"/>
          <w:szCs w:val="26"/>
        </w:rPr>
        <w:t xml:space="preserve">Before you issue this policy</w:t>
      </w:r>
    </w:p>
    <w:p>
      <w:pPr>
        <w:keepNext/>
        <w:spacing w:after="80" w:before="180"/>
      </w:pPr>
      <w:r>
        <w:rPr>
          <w:rFonts w:ascii="Calibri" w:cs="Calibri" w:eastAsia="Calibri" w:hAnsi="Calibri"/>
          <w:b/>
          <w:bCs/>
          <w:i w:val="false"/>
          <w:iCs w:val="false"/>
          <w:color w:val="127572"/>
          <w:sz w:val="22"/>
          <w:szCs w:val="22"/>
        </w:rPr>
        <w:t xml:space="preserve">Checklist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7"/>
        <w:gridCol w:w="8163"/>
      </w:tblGrid>
      <w:tr>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Done</w:t>
            </w:r>
          </w:p>
        </w:tc>
        <w:tc>
          <w:tcPr>
            <w:tcBorders>
              <w:top w:val="single" w:color="BFCAD4" w:sz="4"/>
              <w:left w:val="single" w:color="BFCAD4" w:sz="4"/>
              <w:bottom w:val="single" w:color="BFCAD4" w:sz="4"/>
              <w:right w:val="single" w:color="BFCAD4" w:sz="4"/>
            </w:tcBorders>
            <w:shd w:fill="235180" w:color="auto" w:val="clear"/>
            <w:tcMar>
              <w:top w:type="dxa" w:w="60"/>
              <w:left w:type="dxa" w:w="90"/>
              <w:bottom w:type="dxa" w:w="60"/>
              <w:right w:type="dxa" w:w="90"/>
            </w:tcMar>
            <w:vAlign w:val="top"/>
          </w:tcPr>
          <w:p>
            <w:pPr>
              <w:spacing w:after="0" w:before="0" w:line="260"/>
            </w:pPr>
            <w:r>
              <w:rPr>
                <w:rFonts w:ascii="Calibri" w:cs="Calibri" w:eastAsia="Calibri" w:hAnsi="Calibri"/>
                <w:b/>
                <w:bCs/>
                <w:i w:val="false"/>
                <w:iCs w:val="false"/>
                <w:color w:val="FFFFFF"/>
                <w:sz w:val="18"/>
                <w:szCs w:val="18"/>
              </w:rPr>
              <w:t xml:space="preserve">Check</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Every "Write here" box has been replaced with your own wording, or says "Not applicable" with a reason.</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The procedure is numbered, one action per step, and every step has an owner and a record.</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Related standard IDs are IDs only, copied from your own licensed copy of the standards.</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The header table is complete: number, version, effective date, review date, and three named people.</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A revision history row exists for this version, and the version in the register matches this file.</w:t>
            </w:r>
          </w:p>
        </w:tc>
      </w:tr>
      <w:tr>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w:t>
            </w:r>
          </w:p>
        </w:tc>
        <w:tc>
          <w:tcPr>
            <w:tcBorders>
              <w:top w:val="single" w:color="BFCAD4" w:sz="4"/>
              <w:left w:val="single" w:color="BFCAD4" w:sz="4"/>
              <w:bottom w:val="single" w:color="BFCAD4" w:sz="4"/>
              <w:right w:val="single" w:color="BFCAD4" w:sz="4"/>
            </w:tcBorders>
            <w:tcMar>
              <w:top w:type="dxa" w:w="60"/>
              <w:left w:type="dxa" w:w="90"/>
              <w:bottom w:type="dxa" w:w="60"/>
              <w:right w:type="dxa" w:w="90"/>
            </w:tcMar>
            <w:vAlign w:val="top"/>
          </w:tcPr>
          <w:p>
            <w:pPr>
              <w:spacing w:after="0" w:before="0" w:line="260"/>
            </w:pPr>
            <w:r>
              <w:rPr>
                <w:rFonts w:ascii="Calibri" w:cs="Calibri" w:eastAsia="Calibri" w:hAnsi="Calibri"/>
                <w:b w:val="false"/>
                <w:bCs w:val="false"/>
                <w:i w:val="false"/>
                <w:iCs w:val="false"/>
                <w:color w:val="141C26"/>
                <w:sz w:val="18"/>
                <w:szCs w:val="18"/>
              </w:rPr>
              <w:t xml:space="preserve">The document is saved where the register says it lives, and the printout in the binder matches the file.</w:t>
            </w:r>
          </w:p>
        </w:tc>
      </w:tr>
    </w:tbl>
    <w:p>
      <w:pPr>
        <w:spacing w:after="160"/>
      </w:pPr>
    </w:p>
    <w:p>
      <w:pPr>
        <w:spacing w:after="120" w:before="0" w:line="260"/>
      </w:pPr>
      <w:r>
        <w:rPr>
          <w:rFonts w:ascii="Calibri" w:cs="Calibri" w:eastAsia="Calibri" w:hAnsi="Calibri"/>
          <w:b w:val="false"/>
          <w:bCs w:val="false"/>
          <w:i/>
          <w:iCs/>
          <w:color w:val="5B6B7B"/>
          <w:sz w:val="17"/>
          <w:szCs w:val="17"/>
        </w:rPr>
        <w:t xml:space="preserve">Related standard IDs come from your facility’s licensed copy of the CBAHI standards. This template never reproduces standards text, chapter names or counts.</w:t>
      </w:r>
    </w:p>
    <w:sectPr>
      <w:footerReference w:type="default" r:id="rId6"/>
      <w:pgSz w:w="11908" w:h="16833" w:orient="portrait"/>
      <w:pgMar w:top="863" w:right="1008" w:bottom="1008" w:left="100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AD4" w:sz="4" w:space="4"/>
      </w:pBdr>
      <w:jc w:val="left"/>
    </w:pPr>
    <w:r>
      <w:rPr>
        <w:rFonts w:ascii="Calibri" w:cs="Calibri" w:eastAsia="Calibri" w:hAnsi="Calibri"/>
        <w:b w:val="false"/>
        <w:bCs w:val="false"/>
        <w:i w:val="false"/>
        <w:iCs w:val="false"/>
        <w:color w:val="5B6B7B"/>
        <w:sz w:val="14"/>
        <w:szCs w:val="14"/>
      </w:rPr>
      <w:t xml:space="preserve">Prepared by Meridex · horof.space — Independent tool, not issued or endorsed by CBAHI. Fill standard IDs from your facility’s licensed copy of the CBAHI standards.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1C26"/>
        <w:sz w:val="20"/>
        <w:szCs w:val="20"/>
      </w:rPr>
    </w:rPrDefault>
    <w:pPrDefault>
      <w:pPr>
        <w:spacing w:line="26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and Procedure Template</dc:title>
  <dc:creator>Meridex · horof.space</dc:creator>
  <dc:description>Blank policy and procedure template with a header table, guided sections and a revision history.</dc:description>
  <cp:lastModifiedBy>Un-named</cp:lastModifiedBy>
  <cp:revision>1</cp:revision>
  <dcterms:created xsi:type="dcterms:W3CDTF">2026-10-03T10:11:06.947Z</dcterms:created>
  <dcterms:modified xsi:type="dcterms:W3CDTF">2026-10-03T10:11:06.947Z</dcterms:modified>
</cp:coreProperties>
</file>

<file path=docProps/custom.xml><?xml version="1.0" encoding="utf-8"?>
<Properties xmlns="http://schemas.openxmlformats.org/officeDocument/2006/custom-properties" xmlns:vt="http://schemas.openxmlformats.org/officeDocument/2006/docPropsVTypes"/>
</file>